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05-0307/2104/2024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</w:t>
      </w:r>
      <w:r>
        <w:rPr>
          <w:rFonts w:ascii="Times New Roman" w:eastAsia="Times New Roman" w:hAnsi="Times New Roman" w:cs="Times New Roman"/>
        </w:rPr>
        <w:t>86MS0044-01-2024-000490-72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</w:t>
      </w:r>
      <w:r>
        <w:rPr>
          <w:rFonts w:ascii="Times New Roman" w:eastAsia="Times New Roman" w:hAnsi="Times New Roman" w:cs="Times New Roman"/>
        </w:rPr>
        <w:t>Васильев В.С.,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привлекаемое лицо </w:t>
      </w:r>
      <w:r>
        <w:rPr>
          <w:rFonts w:ascii="Times New Roman" w:eastAsia="Times New Roman" w:hAnsi="Times New Roman" w:cs="Times New Roman"/>
        </w:rPr>
        <w:t>Горелов Никита Алексеевич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место рождения </w:t>
      </w:r>
      <w:r>
        <w:rPr>
          <w:rStyle w:val="cat-UserDefined1453239658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гражданина</w:t>
      </w:r>
      <w:r>
        <w:rPr>
          <w:rFonts w:ascii="Times New Roman" w:eastAsia="Times New Roman" w:hAnsi="Times New Roman" w:cs="Times New Roman"/>
        </w:rPr>
        <w:t xml:space="preserve"> РФ, зарегистрированного и проживающего: </w:t>
      </w:r>
      <w:r>
        <w:rPr>
          <w:rStyle w:val="cat-UserDefined1572299223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Style w:val="cat-ExternalSystem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Горелов Никита Алексеевич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-504277636grp-33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оплатил </w:t>
      </w:r>
      <w:r>
        <w:rPr>
          <w:rFonts w:ascii="Times New Roman" w:eastAsia="Times New Roman" w:hAnsi="Times New Roman" w:cs="Times New Roman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</w:rPr>
        <w:t xml:space="preserve">в установленный законом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05.12.2023 00:01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18810086220001732323 от 25.09.2023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</w:rPr>
        <w:t>05.12.2023 00:01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Горелов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 не явился, о месте и времени рассмотрения извещен надлежащим образом.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Горелова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 об отложении рассмотрения дела об административном правонарушении не поступало.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86 ХМ 519625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года; копией постановления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18810086220001732323 от 25.09.2023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Горелова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Горелова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личность </w:t>
      </w:r>
      <w:r>
        <w:rPr>
          <w:rFonts w:ascii="Times New Roman" w:eastAsia="Times New Roman" w:hAnsi="Times New Roman" w:cs="Times New Roman"/>
        </w:rPr>
        <w:t>Горелова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Горелов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кругу лиц, указанных в ст.3.9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Горелова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Горелова Никиту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>
        <w:rPr>
          <w:rFonts w:ascii="Times New Roman" w:eastAsia="Times New Roman" w:hAnsi="Times New Roman" w:cs="Times New Roman"/>
        </w:rPr>
        <w:t>в двукратном размере суммы неуплаченного административного штрафа, то есть в размере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1600,00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000, ИНН 8601073664, КПП 860101001 КБК 720 1 16 01203 01 9000 140, УИН </w:t>
      </w:r>
      <w:r>
        <w:rPr>
          <w:rFonts w:ascii="Times New Roman" w:eastAsia="Times New Roman" w:hAnsi="Times New Roman" w:cs="Times New Roman"/>
        </w:rPr>
        <w:t>0412365400445003072420149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- 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4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Нижневартовска.</w:t>
      </w:r>
    </w:p>
    <w:p>
      <w:pPr>
        <w:spacing w:before="0" w:after="0"/>
        <w:ind w:firstLine="539"/>
        <w:jc w:val="both"/>
      </w:pPr>
    </w:p>
    <w:p>
      <w:pPr>
        <w:spacing w:before="0" w:after="0"/>
      </w:pPr>
      <w:r>
        <w:rPr>
          <w:rStyle w:val="cat-UserDefinedgrp-34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В.С. Васильев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http://sr-nv-pkms1/xlp4/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UserDefined1453239658grp-31rplc-8">
    <w:name w:val="cat-UserDefined1453239658 grp-31 rplc-8"/>
    <w:basedOn w:val="DefaultParagraphFont"/>
  </w:style>
  <w:style w:type="character" w:customStyle="1" w:styleId="cat-UserDefined1572299223grp-32rplc-10">
    <w:name w:val="cat-UserDefined1572299223 grp-32 rplc-10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UserDefined-504277636grp-33rplc-18">
    <w:name w:val="cat-UserDefined-504277636 grp-33 rplc-18"/>
    <w:basedOn w:val="DefaultParagraphFont"/>
  </w:style>
  <w:style w:type="character" w:customStyle="1" w:styleId="cat-UserDefinedgrp-34rplc-50">
    <w:name w:val="cat-UserDefined grp-34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